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4C" w:rsidRPr="00FC5718" w:rsidRDefault="004B5B4C" w:rsidP="004B5B4C">
      <w:pPr>
        <w:jc w:val="center"/>
        <w:rPr>
          <w:b/>
          <w:noProof/>
        </w:rPr>
      </w:pPr>
    </w:p>
    <w:p w:rsidR="004B5B4C" w:rsidRPr="00FC5718" w:rsidRDefault="004B5B4C" w:rsidP="004B5B4C">
      <w:pPr>
        <w:jc w:val="center"/>
        <w:rPr>
          <w:b/>
          <w:noProof/>
        </w:rPr>
      </w:pPr>
    </w:p>
    <w:p w:rsidR="004B5B4C" w:rsidRPr="00FC5718" w:rsidRDefault="004B5B4C" w:rsidP="004B5B4C">
      <w:pPr>
        <w:jc w:val="center"/>
        <w:rPr>
          <w:b/>
          <w:noProof/>
        </w:rPr>
      </w:pPr>
    </w:p>
    <w:p w:rsidR="004B5B4C" w:rsidRDefault="004B5B4C" w:rsidP="004B5B4C">
      <w:pPr>
        <w:jc w:val="center"/>
        <w:rPr>
          <w:b/>
          <w:noProof/>
        </w:rPr>
      </w:pPr>
    </w:p>
    <w:p w:rsidR="004B5B4C" w:rsidRPr="00FC5718" w:rsidRDefault="004B5B4C" w:rsidP="004B5B4C">
      <w:pPr>
        <w:jc w:val="center"/>
        <w:rPr>
          <w:b/>
          <w:noProof/>
        </w:rPr>
      </w:pPr>
      <w:bookmarkStart w:id="0" w:name="_GoBack"/>
      <w:bookmarkEnd w:id="0"/>
      <w:r w:rsidRPr="00FC5718">
        <w:rPr>
          <w:b/>
          <w:noProof/>
        </w:rPr>
        <w:drawing>
          <wp:anchor distT="0" distB="0" distL="114300" distR="114300" simplePos="0" relativeHeight="251659264" behindDoc="1" locked="0" layoutInCell="1" allowOverlap="1" wp14:anchorId="783B344F" wp14:editId="1252A6D3">
            <wp:simplePos x="0" y="0"/>
            <wp:positionH relativeFrom="column">
              <wp:posOffset>280670</wp:posOffset>
            </wp:positionH>
            <wp:positionV relativeFrom="paragraph">
              <wp:posOffset>-671195</wp:posOffset>
            </wp:positionV>
            <wp:extent cx="1371600" cy="1026160"/>
            <wp:effectExtent l="0" t="0" r="0" b="2540"/>
            <wp:wrapThrough wrapText="bothSides">
              <wp:wrapPolygon edited="0">
                <wp:start x="0" y="0"/>
                <wp:lineTo x="0" y="21252"/>
                <wp:lineTo x="21300" y="21252"/>
                <wp:lineTo x="21300" y="0"/>
                <wp:lineTo x="0" y="0"/>
              </wp:wrapPolygon>
            </wp:wrapThrough>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 Logo_Full Colo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026160"/>
                    </a:xfrm>
                    <a:prstGeom prst="rect">
                      <a:avLst/>
                    </a:prstGeom>
                  </pic:spPr>
                </pic:pic>
              </a:graphicData>
            </a:graphic>
            <wp14:sizeRelH relativeFrom="margin">
              <wp14:pctWidth>0</wp14:pctWidth>
            </wp14:sizeRelH>
            <wp14:sizeRelV relativeFrom="margin">
              <wp14:pctHeight>0</wp14:pctHeight>
            </wp14:sizeRelV>
          </wp:anchor>
        </w:drawing>
      </w:r>
    </w:p>
    <w:p w:rsidR="004B5B4C" w:rsidRPr="00FC5718" w:rsidRDefault="004B5B4C" w:rsidP="004B5B4C">
      <w:pPr>
        <w:jc w:val="center"/>
        <w:rPr>
          <w:b/>
          <w:noProof/>
        </w:rPr>
      </w:pPr>
    </w:p>
    <w:p w:rsidR="004B5B4C" w:rsidRPr="00FC5718" w:rsidRDefault="004B5B4C" w:rsidP="004B5B4C">
      <w:pPr>
        <w:jc w:val="center"/>
        <w:rPr>
          <w:b/>
        </w:rPr>
      </w:pPr>
      <w:r w:rsidRPr="00FC5718">
        <w:rPr>
          <w:b/>
          <w:noProof/>
        </w:rPr>
        <w:t>RFP Exhibit E</w:t>
      </w:r>
    </w:p>
    <w:p w:rsidR="004B5B4C" w:rsidRPr="00FC5718" w:rsidRDefault="004B5B4C" w:rsidP="004B5B4C">
      <w:pPr>
        <w:tabs>
          <w:tab w:val="left" w:pos="-1440"/>
          <w:tab w:val="left" w:pos="-720"/>
        </w:tabs>
        <w:suppressAutoHyphens/>
        <w:jc w:val="center"/>
        <w:rPr>
          <w:b/>
          <w:bCs/>
          <w:color w:val="7030A0"/>
          <w:spacing w:val="-2"/>
          <w:sz w:val="20"/>
        </w:rPr>
      </w:pPr>
      <w:r w:rsidRPr="00FC5718">
        <w:rPr>
          <w:rFonts w:cs="Arial"/>
          <w:b/>
          <w:bCs/>
        </w:rPr>
        <w:t>Commission Form</w:t>
      </w:r>
    </w:p>
    <w:p w:rsidR="004B5B4C" w:rsidRPr="00FC5718" w:rsidRDefault="004B5B4C" w:rsidP="004B5B4C">
      <w:pPr>
        <w:jc w:val="center"/>
        <w:rPr>
          <w:rFonts w:ascii="Calibri" w:hAnsi="Calibri"/>
          <w:noProof/>
          <w:sz w:val="22"/>
          <w:szCs w:val="22"/>
        </w:rPr>
      </w:pPr>
    </w:p>
    <w:tbl>
      <w:tblPr>
        <w:tblpPr w:leftFromText="180" w:rightFromText="180" w:vertAnchor="text" w:horzAnchor="margin" w:tblpXSpec="center" w:tblpY="247"/>
        <w:tblW w:w="10576" w:type="dxa"/>
        <w:tblLook w:val="04A0" w:firstRow="1" w:lastRow="0" w:firstColumn="1" w:lastColumn="0" w:noHBand="0" w:noVBand="1"/>
      </w:tblPr>
      <w:tblGrid>
        <w:gridCol w:w="271"/>
        <w:gridCol w:w="4979"/>
        <w:gridCol w:w="869"/>
        <w:gridCol w:w="869"/>
        <w:gridCol w:w="1037"/>
        <w:gridCol w:w="1140"/>
        <w:gridCol w:w="1140"/>
        <w:gridCol w:w="271"/>
      </w:tblGrid>
      <w:tr w:rsidR="004B5B4C" w:rsidRPr="00FC5718" w:rsidTr="008D2286">
        <w:trPr>
          <w:trHeight w:val="420"/>
        </w:trPr>
        <w:tc>
          <w:tcPr>
            <w:tcW w:w="8025" w:type="dxa"/>
            <w:gridSpan w:val="5"/>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b/>
                <w:bCs/>
                <w:color w:val="000000"/>
                <w:sz w:val="32"/>
                <w:szCs w:val="32"/>
              </w:rPr>
            </w:pPr>
            <w:r w:rsidRPr="00FC5718">
              <w:rPr>
                <w:rFonts w:ascii="Calibri" w:hAnsi="Calibri"/>
                <w:b/>
                <w:bCs/>
                <w:color w:val="000000"/>
                <w:sz w:val="32"/>
                <w:szCs w:val="32"/>
              </w:rPr>
              <w:t>Compensation and Cost Data Worksheet for RFP 107-2016</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r>
      <w:tr w:rsidR="004B5B4C" w:rsidRPr="00FC5718" w:rsidTr="008D2286">
        <w:trPr>
          <w:trHeight w:val="435"/>
        </w:trPr>
        <w:tc>
          <w:tcPr>
            <w:tcW w:w="9165" w:type="dxa"/>
            <w:gridSpan w:val="6"/>
            <w:tcBorders>
              <w:top w:val="nil"/>
              <w:left w:val="nil"/>
              <w:bottom w:val="single" w:sz="8" w:space="0" w:color="auto"/>
              <w:right w:val="nil"/>
            </w:tcBorders>
            <w:shd w:val="clear" w:color="000000" w:fill="B8CCE4"/>
            <w:noWrap/>
            <w:vAlign w:val="bottom"/>
            <w:hideMark/>
          </w:tcPr>
          <w:p w:rsidR="004B5B4C" w:rsidRPr="00FC5718" w:rsidRDefault="004B5B4C" w:rsidP="008D2286">
            <w:pPr>
              <w:jc w:val="left"/>
              <w:rPr>
                <w:rFonts w:ascii="Calibri" w:hAnsi="Calibri"/>
                <w:b/>
                <w:bCs/>
                <w:color w:val="000000"/>
                <w:sz w:val="32"/>
                <w:szCs w:val="32"/>
              </w:rPr>
            </w:pPr>
            <w:r w:rsidRPr="00FC5718">
              <w:rPr>
                <w:rFonts w:ascii="Calibri" w:hAnsi="Calibri"/>
                <w:b/>
                <w:bCs/>
                <w:color w:val="000000"/>
                <w:sz w:val="32"/>
                <w:szCs w:val="32"/>
              </w:rPr>
              <w:t xml:space="preserve">Music City Center Audio-Visual Services </w:t>
            </w:r>
          </w:p>
        </w:tc>
        <w:tc>
          <w:tcPr>
            <w:tcW w:w="1140" w:type="dxa"/>
            <w:tcBorders>
              <w:top w:val="nil"/>
              <w:left w:val="nil"/>
              <w:bottom w:val="single" w:sz="8" w:space="0" w:color="auto"/>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c>
          <w:tcPr>
            <w:tcW w:w="271" w:type="dxa"/>
            <w:tcBorders>
              <w:top w:val="nil"/>
              <w:left w:val="nil"/>
              <w:bottom w:val="single" w:sz="8" w:space="0" w:color="auto"/>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r>
      <w:tr w:rsidR="004B5B4C" w:rsidRPr="00FC5718" w:rsidTr="008D2286">
        <w:trPr>
          <w:trHeight w:val="300"/>
        </w:trPr>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c>
          <w:tcPr>
            <w:tcW w:w="497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c>
          <w:tcPr>
            <w:tcW w:w="86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c>
          <w:tcPr>
            <w:tcW w:w="86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c>
          <w:tcPr>
            <w:tcW w:w="1037"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sz w:val="22"/>
                <w:szCs w:val="22"/>
              </w:rPr>
            </w:pPr>
            <w:r w:rsidRPr="00FC5718">
              <w:rPr>
                <w:rFonts w:ascii="Calibri" w:hAnsi="Calibri"/>
                <w:color w:val="000000"/>
                <w:sz w:val="22"/>
                <w:szCs w:val="22"/>
              </w:rPr>
              <w:t> </w:t>
            </w:r>
          </w:p>
        </w:tc>
      </w:tr>
      <w:tr w:rsidR="004B5B4C" w:rsidRPr="00FC5718" w:rsidTr="008D2286">
        <w:trPr>
          <w:trHeight w:val="315"/>
        </w:trPr>
        <w:tc>
          <w:tcPr>
            <w:tcW w:w="10305" w:type="dxa"/>
            <w:gridSpan w:val="7"/>
            <w:vMerge w:val="restart"/>
            <w:tcBorders>
              <w:top w:val="nil"/>
              <w:left w:val="nil"/>
              <w:bottom w:val="nil"/>
              <w:right w:val="nil"/>
            </w:tcBorders>
            <w:shd w:val="clear" w:color="000000" w:fill="B8CCE4"/>
            <w:hideMark/>
          </w:tcPr>
          <w:p w:rsidR="004B5B4C" w:rsidRPr="00FC5718" w:rsidRDefault="004B5B4C" w:rsidP="008D2286">
            <w:pPr>
              <w:jc w:val="left"/>
              <w:rPr>
                <w:rFonts w:ascii="Calibri" w:hAnsi="Calibri"/>
                <w:b/>
                <w:bCs/>
                <w:color w:val="000000"/>
              </w:rPr>
            </w:pPr>
            <w:proofErr w:type="spellStart"/>
            <w:r w:rsidRPr="00FC5718">
              <w:rPr>
                <w:rFonts w:ascii="Calibri" w:hAnsi="Calibri"/>
                <w:b/>
                <w:bCs/>
                <w:color w:val="000000"/>
              </w:rPr>
              <w:t>Offeror</w:t>
            </w:r>
            <w:proofErr w:type="spellEnd"/>
            <w:r w:rsidRPr="00FC5718">
              <w:rPr>
                <w:rFonts w:ascii="Calibri" w:hAnsi="Calibri"/>
                <w:b/>
                <w:bCs/>
                <w:color w:val="000000"/>
              </w:rPr>
              <w:t xml:space="preserve"> must enter commission percentages to be paid to the CCA for each of the categories included in their proposal :</w:t>
            </w: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r w:rsidR="004B5B4C" w:rsidRPr="00FC5718" w:rsidTr="008D2286">
        <w:trPr>
          <w:trHeight w:val="360"/>
        </w:trPr>
        <w:tc>
          <w:tcPr>
            <w:tcW w:w="10305" w:type="dxa"/>
            <w:gridSpan w:val="7"/>
            <w:vMerge/>
            <w:tcBorders>
              <w:top w:val="nil"/>
              <w:left w:val="nil"/>
              <w:bottom w:val="nil"/>
              <w:right w:val="nil"/>
            </w:tcBorders>
            <w:vAlign w:val="center"/>
            <w:hideMark/>
          </w:tcPr>
          <w:p w:rsidR="004B5B4C" w:rsidRPr="00FC5718" w:rsidRDefault="004B5B4C" w:rsidP="008D2286">
            <w:pPr>
              <w:jc w:val="left"/>
              <w:rPr>
                <w:rFonts w:ascii="Calibri" w:hAnsi="Calibri"/>
                <w:b/>
                <w:bCs/>
                <w:color w:val="000000"/>
              </w:rPr>
            </w:pP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r w:rsidR="004B5B4C" w:rsidRPr="00FC5718" w:rsidTr="008D2286">
        <w:trPr>
          <w:trHeight w:val="120"/>
        </w:trPr>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497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86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86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1037"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r w:rsidR="004B5B4C" w:rsidRPr="00FC5718" w:rsidTr="008D2286">
        <w:trPr>
          <w:trHeight w:val="315"/>
        </w:trPr>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rPr>
            </w:pPr>
            <w:r w:rsidRPr="00FC5718">
              <w:rPr>
                <w:rFonts w:ascii="Calibri" w:hAnsi="Calibri"/>
              </w:rPr>
              <w:t> </w:t>
            </w:r>
          </w:p>
        </w:tc>
        <w:tc>
          <w:tcPr>
            <w:tcW w:w="497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rPr>
            </w:pPr>
            <w:r w:rsidRPr="00FC5718">
              <w:rPr>
                <w:rFonts w:ascii="Calibri" w:hAnsi="Calibri"/>
              </w:rPr>
              <w:t> </w:t>
            </w:r>
          </w:p>
        </w:tc>
        <w:tc>
          <w:tcPr>
            <w:tcW w:w="869" w:type="dxa"/>
            <w:tcBorders>
              <w:top w:val="nil"/>
              <w:left w:val="nil"/>
              <w:bottom w:val="nil"/>
              <w:right w:val="nil"/>
            </w:tcBorders>
            <w:shd w:val="clear" w:color="000000" w:fill="B8CCE4"/>
            <w:noWrap/>
            <w:vAlign w:val="bottom"/>
            <w:hideMark/>
          </w:tcPr>
          <w:p w:rsidR="004B5B4C" w:rsidRPr="00FC5718" w:rsidRDefault="004B5B4C" w:rsidP="008D2286">
            <w:pPr>
              <w:jc w:val="center"/>
              <w:rPr>
                <w:rFonts w:ascii="Calibri" w:hAnsi="Calibri"/>
                <w:b/>
                <w:bCs/>
              </w:rPr>
            </w:pPr>
            <w:r w:rsidRPr="00FC5718">
              <w:rPr>
                <w:rFonts w:ascii="Calibri" w:hAnsi="Calibri"/>
                <w:b/>
                <w:bCs/>
              </w:rPr>
              <w:t>Year 1</w:t>
            </w:r>
          </w:p>
        </w:tc>
        <w:tc>
          <w:tcPr>
            <w:tcW w:w="869" w:type="dxa"/>
            <w:tcBorders>
              <w:top w:val="nil"/>
              <w:left w:val="nil"/>
              <w:bottom w:val="nil"/>
              <w:right w:val="nil"/>
            </w:tcBorders>
            <w:shd w:val="clear" w:color="000000" w:fill="B8CCE4"/>
            <w:noWrap/>
            <w:vAlign w:val="bottom"/>
            <w:hideMark/>
          </w:tcPr>
          <w:p w:rsidR="004B5B4C" w:rsidRPr="00FC5718" w:rsidRDefault="004B5B4C" w:rsidP="008D2286">
            <w:pPr>
              <w:jc w:val="center"/>
              <w:rPr>
                <w:rFonts w:ascii="Calibri" w:hAnsi="Calibri"/>
                <w:b/>
                <w:bCs/>
              </w:rPr>
            </w:pPr>
            <w:r w:rsidRPr="00FC5718">
              <w:rPr>
                <w:rFonts w:ascii="Calibri" w:hAnsi="Calibri"/>
                <w:b/>
                <w:bCs/>
              </w:rPr>
              <w:t>Year 2</w:t>
            </w:r>
          </w:p>
        </w:tc>
        <w:tc>
          <w:tcPr>
            <w:tcW w:w="1037" w:type="dxa"/>
            <w:tcBorders>
              <w:top w:val="nil"/>
              <w:left w:val="nil"/>
              <w:bottom w:val="nil"/>
              <w:right w:val="nil"/>
            </w:tcBorders>
            <w:shd w:val="clear" w:color="000000" w:fill="B8CCE4"/>
            <w:noWrap/>
            <w:vAlign w:val="bottom"/>
            <w:hideMark/>
          </w:tcPr>
          <w:p w:rsidR="004B5B4C" w:rsidRPr="00FC5718" w:rsidRDefault="004B5B4C" w:rsidP="008D2286">
            <w:pPr>
              <w:jc w:val="center"/>
              <w:rPr>
                <w:rFonts w:ascii="Calibri" w:hAnsi="Calibri"/>
                <w:b/>
                <w:bCs/>
              </w:rPr>
            </w:pPr>
            <w:r w:rsidRPr="00FC5718">
              <w:rPr>
                <w:rFonts w:ascii="Calibri" w:hAnsi="Calibri"/>
                <w:b/>
                <w:bCs/>
              </w:rPr>
              <w:t>Year 3</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center"/>
              <w:rPr>
                <w:rFonts w:ascii="Calibri" w:hAnsi="Calibri"/>
                <w:b/>
                <w:bCs/>
              </w:rPr>
            </w:pPr>
            <w:r w:rsidRPr="00FC5718">
              <w:rPr>
                <w:rFonts w:ascii="Calibri" w:hAnsi="Calibri"/>
                <w:b/>
                <w:bCs/>
              </w:rPr>
              <w:t>Year 4</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center"/>
              <w:rPr>
                <w:rFonts w:ascii="Calibri" w:hAnsi="Calibri"/>
                <w:b/>
                <w:bCs/>
              </w:rPr>
            </w:pPr>
            <w:r w:rsidRPr="00FC5718">
              <w:rPr>
                <w:rFonts w:ascii="Calibri" w:hAnsi="Calibri"/>
                <w:b/>
                <w:bCs/>
              </w:rPr>
              <w:t>Year 5</w:t>
            </w: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r w:rsidR="004B5B4C" w:rsidRPr="00FC5718" w:rsidTr="008D2286">
        <w:trPr>
          <w:trHeight w:val="315"/>
        </w:trPr>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b/>
                <w:bCs/>
                <w:color w:val="000000"/>
              </w:rPr>
            </w:pPr>
            <w:r w:rsidRPr="00FC5718">
              <w:rPr>
                <w:rFonts w:ascii="Calibri" w:hAnsi="Calibri"/>
                <w:b/>
                <w:bCs/>
                <w:color w:val="000000"/>
              </w:rPr>
              <w:t> </w:t>
            </w:r>
          </w:p>
        </w:tc>
        <w:tc>
          <w:tcPr>
            <w:tcW w:w="497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b/>
                <w:bCs/>
                <w:color w:val="000000"/>
              </w:rPr>
            </w:pPr>
            <w:r w:rsidRPr="00FC5718">
              <w:rPr>
                <w:rFonts w:ascii="Calibri" w:hAnsi="Calibri"/>
                <w:b/>
                <w:bCs/>
                <w:color w:val="000000"/>
              </w:rPr>
              <w:t>A.) Gross Equipment Rentals</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B4C" w:rsidRPr="00FC5718" w:rsidRDefault="004B5B4C" w:rsidP="008D2286">
            <w:pPr>
              <w:jc w:val="center"/>
              <w:rPr>
                <w:rFonts w:ascii="Calibri" w:hAnsi="Calibri"/>
                <w:color w:val="000000"/>
              </w:rPr>
            </w:pPr>
            <w:r w:rsidRPr="00FC5718">
              <w:rPr>
                <w:rFonts w:ascii="Calibri" w:hAnsi="Calibri"/>
                <w:color w:val="000000"/>
              </w:rPr>
              <w:t>0.00%</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4B5B4C" w:rsidRPr="00FC5718" w:rsidRDefault="004B5B4C" w:rsidP="008D2286">
            <w:pPr>
              <w:jc w:val="center"/>
              <w:rPr>
                <w:rFonts w:ascii="Calibri" w:hAnsi="Calibri"/>
                <w:color w:val="000000"/>
              </w:rPr>
            </w:pPr>
            <w:r w:rsidRPr="00FC5718">
              <w:rPr>
                <w:rFonts w:ascii="Calibri" w:hAnsi="Calibri"/>
                <w:color w:val="000000"/>
              </w:rPr>
              <w:t>0.00%</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4B5B4C" w:rsidRPr="00FC5718" w:rsidRDefault="004B5B4C" w:rsidP="008D2286">
            <w:pPr>
              <w:jc w:val="center"/>
              <w:rPr>
                <w:rFonts w:ascii="Calibri" w:hAnsi="Calibri"/>
                <w:color w:val="000000"/>
              </w:rPr>
            </w:pPr>
            <w:r w:rsidRPr="00FC5718">
              <w:rPr>
                <w:rFonts w:ascii="Calibri" w:hAnsi="Calibri"/>
                <w:color w:val="000000"/>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B5B4C" w:rsidRPr="00FC5718" w:rsidRDefault="004B5B4C" w:rsidP="008D2286">
            <w:pPr>
              <w:jc w:val="center"/>
              <w:rPr>
                <w:rFonts w:ascii="Calibri" w:hAnsi="Calibri"/>
                <w:color w:val="000000"/>
              </w:rPr>
            </w:pPr>
            <w:r w:rsidRPr="00FC5718">
              <w:rPr>
                <w:rFonts w:ascii="Calibri" w:hAnsi="Calibri"/>
                <w:color w:val="000000"/>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B5B4C" w:rsidRPr="00FC5718" w:rsidRDefault="004B5B4C" w:rsidP="008D2286">
            <w:pPr>
              <w:jc w:val="center"/>
              <w:rPr>
                <w:rFonts w:ascii="Calibri" w:hAnsi="Calibri"/>
                <w:color w:val="000000"/>
              </w:rPr>
            </w:pPr>
            <w:r w:rsidRPr="00FC5718">
              <w:rPr>
                <w:rFonts w:ascii="Calibri" w:hAnsi="Calibri"/>
                <w:color w:val="000000"/>
              </w:rPr>
              <w:t>0.00%</w:t>
            </w: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r w:rsidR="004B5B4C" w:rsidRPr="00FC5718" w:rsidTr="008D2286">
        <w:trPr>
          <w:trHeight w:val="315"/>
        </w:trPr>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b/>
                <w:bCs/>
                <w:color w:val="000000"/>
              </w:rPr>
            </w:pPr>
            <w:r w:rsidRPr="00FC5718">
              <w:rPr>
                <w:rFonts w:ascii="Calibri" w:hAnsi="Calibri"/>
                <w:b/>
                <w:bCs/>
                <w:color w:val="000000"/>
              </w:rPr>
              <w:t> </w:t>
            </w:r>
          </w:p>
        </w:tc>
        <w:tc>
          <w:tcPr>
            <w:tcW w:w="497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b/>
                <w:bCs/>
                <w:color w:val="000000"/>
              </w:rPr>
            </w:pPr>
            <w:r w:rsidRPr="00FC5718">
              <w:rPr>
                <w:rFonts w:ascii="Calibri" w:hAnsi="Calibri"/>
                <w:b/>
                <w:bCs/>
                <w:color w:val="000000"/>
              </w:rPr>
              <w:t>B.) Gross Labor on Set-up/Teardowns</w:t>
            </w:r>
          </w:p>
        </w:tc>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4B5B4C" w:rsidRPr="00FC5718" w:rsidRDefault="004B5B4C" w:rsidP="008D2286">
            <w:pPr>
              <w:jc w:val="center"/>
              <w:rPr>
                <w:rFonts w:ascii="Calibri" w:hAnsi="Calibri"/>
                <w:color w:val="000000"/>
              </w:rPr>
            </w:pPr>
            <w:r w:rsidRPr="00FC5718">
              <w:rPr>
                <w:rFonts w:ascii="Calibri" w:hAnsi="Calibri"/>
                <w:color w:val="000000"/>
              </w:rPr>
              <w:t>0.00%</w:t>
            </w:r>
          </w:p>
        </w:tc>
        <w:tc>
          <w:tcPr>
            <w:tcW w:w="869" w:type="dxa"/>
            <w:tcBorders>
              <w:top w:val="nil"/>
              <w:left w:val="nil"/>
              <w:bottom w:val="single" w:sz="4" w:space="0" w:color="auto"/>
              <w:right w:val="single" w:sz="4" w:space="0" w:color="auto"/>
            </w:tcBorders>
            <w:shd w:val="clear" w:color="auto" w:fill="auto"/>
            <w:noWrap/>
            <w:vAlign w:val="bottom"/>
            <w:hideMark/>
          </w:tcPr>
          <w:p w:rsidR="004B5B4C" w:rsidRPr="00FC5718" w:rsidRDefault="004B5B4C" w:rsidP="008D2286">
            <w:pPr>
              <w:jc w:val="center"/>
              <w:rPr>
                <w:rFonts w:ascii="Calibri" w:hAnsi="Calibri"/>
                <w:color w:val="000000"/>
              </w:rPr>
            </w:pPr>
            <w:r w:rsidRPr="00FC5718">
              <w:rPr>
                <w:rFonts w:ascii="Calibri" w:hAnsi="Calibri"/>
                <w:color w:val="000000"/>
              </w:rPr>
              <w:t>0.00%</w:t>
            </w:r>
          </w:p>
        </w:tc>
        <w:tc>
          <w:tcPr>
            <w:tcW w:w="1037" w:type="dxa"/>
            <w:tcBorders>
              <w:top w:val="nil"/>
              <w:left w:val="nil"/>
              <w:bottom w:val="single" w:sz="4" w:space="0" w:color="auto"/>
              <w:right w:val="single" w:sz="4" w:space="0" w:color="auto"/>
            </w:tcBorders>
            <w:shd w:val="clear" w:color="auto" w:fill="auto"/>
            <w:noWrap/>
            <w:vAlign w:val="bottom"/>
            <w:hideMark/>
          </w:tcPr>
          <w:p w:rsidR="004B5B4C" w:rsidRPr="00FC5718" w:rsidRDefault="004B5B4C" w:rsidP="008D2286">
            <w:pPr>
              <w:jc w:val="center"/>
              <w:rPr>
                <w:rFonts w:ascii="Calibri" w:hAnsi="Calibri"/>
                <w:color w:val="000000"/>
              </w:rPr>
            </w:pPr>
            <w:r w:rsidRPr="00FC5718">
              <w:rPr>
                <w:rFonts w:ascii="Calibri" w:hAnsi="Calibri"/>
                <w:color w:val="000000"/>
              </w:rPr>
              <w:t>0.00%</w:t>
            </w:r>
          </w:p>
        </w:tc>
        <w:tc>
          <w:tcPr>
            <w:tcW w:w="1140" w:type="dxa"/>
            <w:tcBorders>
              <w:top w:val="nil"/>
              <w:left w:val="nil"/>
              <w:bottom w:val="single" w:sz="4" w:space="0" w:color="auto"/>
              <w:right w:val="single" w:sz="4" w:space="0" w:color="auto"/>
            </w:tcBorders>
            <w:shd w:val="clear" w:color="auto" w:fill="auto"/>
            <w:noWrap/>
            <w:vAlign w:val="bottom"/>
            <w:hideMark/>
          </w:tcPr>
          <w:p w:rsidR="004B5B4C" w:rsidRPr="00FC5718" w:rsidRDefault="004B5B4C" w:rsidP="008D2286">
            <w:pPr>
              <w:jc w:val="center"/>
              <w:rPr>
                <w:rFonts w:ascii="Calibri" w:hAnsi="Calibri"/>
                <w:color w:val="000000"/>
              </w:rPr>
            </w:pPr>
            <w:r w:rsidRPr="00FC5718">
              <w:rPr>
                <w:rFonts w:ascii="Calibri" w:hAnsi="Calibri"/>
                <w:color w:val="000000"/>
              </w:rPr>
              <w:t>0.00%</w:t>
            </w:r>
          </w:p>
        </w:tc>
        <w:tc>
          <w:tcPr>
            <w:tcW w:w="1140" w:type="dxa"/>
            <w:tcBorders>
              <w:top w:val="nil"/>
              <w:left w:val="nil"/>
              <w:bottom w:val="single" w:sz="4" w:space="0" w:color="auto"/>
              <w:right w:val="single" w:sz="4" w:space="0" w:color="auto"/>
            </w:tcBorders>
            <w:shd w:val="clear" w:color="auto" w:fill="auto"/>
            <w:noWrap/>
            <w:vAlign w:val="bottom"/>
            <w:hideMark/>
          </w:tcPr>
          <w:p w:rsidR="004B5B4C" w:rsidRPr="00FC5718" w:rsidRDefault="004B5B4C" w:rsidP="008D2286">
            <w:pPr>
              <w:jc w:val="center"/>
              <w:rPr>
                <w:rFonts w:ascii="Calibri" w:hAnsi="Calibri"/>
                <w:color w:val="000000"/>
              </w:rPr>
            </w:pPr>
            <w:r w:rsidRPr="00FC5718">
              <w:rPr>
                <w:rFonts w:ascii="Calibri" w:hAnsi="Calibri"/>
                <w:color w:val="000000"/>
              </w:rPr>
              <w:t>0.00%</w:t>
            </w: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r w:rsidR="004B5B4C" w:rsidRPr="00FC5718" w:rsidTr="008D2286">
        <w:trPr>
          <w:trHeight w:val="315"/>
        </w:trPr>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497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86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86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1037"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r w:rsidR="004B5B4C" w:rsidRPr="00FC5718" w:rsidTr="008D2286">
        <w:trPr>
          <w:trHeight w:val="300"/>
        </w:trPr>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10034" w:type="dxa"/>
            <w:gridSpan w:val="6"/>
            <w:vMerge w:val="restart"/>
            <w:tcBorders>
              <w:top w:val="nil"/>
              <w:left w:val="nil"/>
              <w:bottom w:val="nil"/>
              <w:right w:val="nil"/>
            </w:tcBorders>
            <w:shd w:val="clear" w:color="000000" w:fill="DCE6F1"/>
            <w:hideMark/>
          </w:tcPr>
          <w:p w:rsidR="004B5B4C" w:rsidRPr="00FC5718" w:rsidRDefault="004B5B4C" w:rsidP="008D2286">
            <w:pPr>
              <w:jc w:val="left"/>
              <w:rPr>
                <w:rFonts w:ascii="Calibri" w:hAnsi="Calibri"/>
                <w:i/>
                <w:iCs/>
                <w:color w:val="000000"/>
              </w:rPr>
            </w:pPr>
            <w:r w:rsidRPr="00FC5718">
              <w:rPr>
                <w:rFonts w:ascii="Calibri" w:hAnsi="Calibri"/>
                <w:i/>
                <w:iCs/>
                <w:color w:val="000000"/>
              </w:rPr>
              <w:t xml:space="preserve">*Proposed percentages will be applied to "Gross Sales" defined as: total amount of all monies received including service charges, supplemental fees or monies charged by the contractor, its agents, subcontractors, or employees for all Audio Visual Services Sales excluding sales taxes or gratuities paid directly to contractor's employees and retained by the employees. </w:t>
            </w: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r w:rsidR="004B5B4C" w:rsidRPr="00FC5718" w:rsidTr="008D2286">
        <w:trPr>
          <w:trHeight w:val="315"/>
        </w:trPr>
        <w:tc>
          <w:tcPr>
            <w:tcW w:w="271" w:type="dxa"/>
            <w:tcBorders>
              <w:top w:val="nil"/>
              <w:left w:val="nil"/>
              <w:bottom w:val="nil"/>
              <w:right w:val="nil"/>
            </w:tcBorders>
            <w:shd w:val="clear" w:color="000000" w:fill="B8CCE4"/>
            <w:noWrap/>
            <w:hideMark/>
          </w:tcPr>
          <w:p w:rsidR="004B5B4C" w:rsidRPr="00FC5718" w:rsidRDefault="004B5B4C" w:rsidP="008D2286">
            <w:pPr>
              <w:jc w:val="left"/>
              <w:rPr>
                <w:rFonts w:ascii="Calibri" w:hAnsi="Calibri"/>
                <w:i/>
                <w:iCs/>
                <w:color w:val="000000"/>
              </w:rPr>
            </w:pPr>
            <w:r w:rsidRPr="00FC5718">
              <w:rPr>
                <w:rFonts w:ascii="Calibri" w:hAnsi="Calibri"/>
                <w:i/>
                <w:iCs/>
                <w:color w:val="000000"/>
              </w:rPr>
              <w:t> </w:t>
            </w:r>
          </w:p>
        </w:tc>
        <w:tc>
          <w:tcPr>
            <w:tcW w:w="10034" w:type="dxa"/>
            <w:gridSpan w:val="6"/>
            <w:vMerge/>
            <w:tcBorders>
              <w:top w:val="nil"/>
              <w:left w:val="nil"/>
              <w:bottom w:val="nil"/>
              <w:right w:val="nil"/>
            </w:tcBorders>
            <w:vAlign w:val="center"/>
            <w:hideMark/>
          </w:tcPr>
          <w:p w:rsidR="004B5B4C" w:rsidRPr="00FC5718" w:rsidRDefault="004B5B4C" w:rsidP="008D2286">
            <w:pPr>
              <w:jc w:val="left"/>
              <w:rPr>
                <w:rFonts w:ascii="Calibri" w:hAnsi="Calibri"/>
                <w:i/>
                <w:iCs/>
                <w:color w:val="000000"/>
              </w:rPr>
            </w:pP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r w:rsidR="004B5B4C" w:rsidRPr="00FC5718" w:rsidTr="008D2286">
        <w:trPr>
          <w:trHeight w:val="315"/>
        </w:trPr>
        <w:tc>
          <w:tcPr>
            <w:tcW w:w="271" w:type="dxa"/>
            <w:tcBorders>
              <w:top w:val="nil"/>
              <w:left w:val="nil"/>
              <w:bottom w:val="nil"/>
              <w:right w:val="nil"/>
            </w:tcBorders>
            <w:shd w:val="clear" w:color="000000" w:fill="B8CCE4"/>
            <w:noWrap/>
            <w:hideMark/>
          </w:tcPr>
          <w:p w:rsidR="004B5B4C" w:rsidRPr="00FC5718" w:rsidRDefault="004B5B4C" w:rsidP="008D2286">
            <w:pPr>
              <w:jc w:val="left"/>
              <w:rPr>
                <w:rFonts w:ascii="Calibri" w:hAnsi="Calibri"/>
                <w:i/>
                <w:iCs/>
                <w:color w:val="000000"/>
              </w:rPr>
            </w:pPr>
            <w:r w:rsidRPr="00FC5718">
              <w:rPr>
                <w:rFonts w:ascii="Calibri" w:hAnsi="Calibri"/>
                <w:i/>
                <w:iCs/>
                <w:color w:val="000000"/>
              </w:rPr>
              <w:t> </w:t>
            </w:r>
          </w:p>
        </w:tc>
        <w:tc>
          <w:tcPr>
            <w:tcW w:w="10034" w:type="dxa"/>
            <w:gridSpan w:val="6"/>
            <w:vMerge/>
            <w:tcBorders>
              <w:top w:val="nil"/>
              <w:left w:val="nil"/>
              <w:bottom w:val="nil"/>
              <w:right w:val="nil"/>
            </w:tcBorders>
            <w:vAlign w:val="center"/>
            <w:hideMark/>
          </w:tcPr>
          <w:p w:rsidR="004B5B4C" w:rsidRPr="00FC5718" w:rsidRDefault="004B5B4C" w:rsidP="008D2286">
            <w:pPr>
              <w:jc w:val="left"/>
              <w:rPr>
                <w:rFonts w:ascii="Calibri" w:hAnsi="Calibri"/>
                <w:i/>
                <w:iCs/>
                <w:color w:val="000000"/>
              </w:rPr>
            </w:pP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r w:rsidR="004B5B4C" w:rsidRPr="00FC5718" w:rsidTr="008D2286">
        <w:trPr>
          <w:trHeight w:val="315"/>
        </w:trPr>
        <w:tc>
          <w:tcPr>
            <w:tcW w:w="271" w:type="dxa"/>
            <w:tcBorders>
              <w:top w:val="nil"/>
              <w:left w:val="nil"/>
              <w:bottom w:val="nil"/>
              <w:right w:val="nil"/>
            </w:tcBorders>
            <w:shd w:val="clear" w:color="000000" w:fill="B8CCE4"/>
            <w:noWrap/>
            <w:hideMark/>
          </w:tcPr>
          <w:p w:rsidR="004B5B4C" w:rsidRPr="00FC5718" w:rsidRDefault="004B5B4C" w:rsidP="008D2286">
            <w:pPr>
              <w:jc w:val="left"/>
              <w:rPr>
                <w:rFonts w:ascii="Calibri" w:hAnsi="Calibri"/>
                <w:i/>
                <w:iCs/>
                <w:color w:val="000000"/>
              </w:rPr>
            </w:pPr>
            <w:r w:rsidRPr="00FC5718">
              <w:rPr>
                <w:rFonts w:ascii="Calibri" w:hAnsi="Calibri"/>
                <w:i/>
                <w:iCs/>
                <w:color w:val="000000"/>
              </w:rPr>
              <w:t> </w:t>
            </w:r>
          </w:p>
        </w:tc>
        <w:tc>
          <w:tcPr>
            <w:tcW w:w="10034" w:type="dxa"/>
            <w:gridSpan w:val="6"/>
            <w:vMerge/>
            <w:tcBorders>
              <w:top w:val="nil"/>
              <w:left w:val="nil"/>
              <w:bottom w:val="nil"/>
              <w:right w:val="nil"/>
            </w:tcBorders>
            <w:vAlign w:val="center"/>
            <w:hideMark/>
          </w:tcPr>
          <w:p w:rsidR="004B5B4C" w:rsidRPr="00FC5718" w:rsidRDefault="004B5B4C" w:rsidP="008D2286">
            <w:pPr>
              <w:jc w:val="left"/>
              <w:rPr>
                <w:rFonts w:ascii="Calibri" w:hAnsi="Calibri"/>
                <w:i/>
                <w:iCs/>
                <w:color w:val="000000"/>
              </w:rPr>
            </w:pP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r w:rsidR="004B5B4C" w:rsidRPr="00FC5718" w:rsidTr="008D2286">
        <w:trPr>
          <w:trHeight w:val="105"/>
        </w:trPr>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497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86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869"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1037"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1140"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c>
          <w:tcPr>
            <w:tcW w:w="271" w:type="dxa"/>
            <w:tcBorders>
              <w:top w:val="nil"/>
              <w:left w:val="nil"/>
              <w:bottom w:val="nil"/>
              <w:right w:val="nil"/>
            </w:tcBorders>
            <w:shd w:val="clear" w:color="000000" w:fill="B8CCE4"/>
            <w:noWrap/>
            <w:vAlign w:val="bottom"/>
            <w:hideMark/>
          </w:tcPr>
          <w:p w:rsidR="004B5B4C" w:rsidRPr="00FC5718" w:rsidRDefault="004B5B4C" w:rsidP="008D2286">
            <w:pPr>
              <w:jc w:val="left"/>
              <w:rPr>
                <w:rFonts w:ascii="Calibri" w:hAnsi="Calibri"/>
                <w:color w:val="000000"/>
              </w:rPr>
            </w:pPr>
            <w:r w:rsidRPr="00FC5718">
              <w:rPr>
                <w:rFonts w:ascii="Calibri" w:hAnsi="Calibri"/>
                <w:color w:val="000000"/>
              </w:rPr>
              <w:t> </w:t>
            </w:r>
          </w:p>
        </w:tc>
      </w:tr>
    </w:tbl>
    <w:p w:rsidR="004B5B4C" w:rsidRPr="00FC5718" w:rsidRDefault="004B5B4C" w:rsidP="004B5B4C">
      <w:pPr>
        <w:tabs>
          <w:tab w:val="left" w:pos="720"/>
          <w:tab w:val="left" w:pos="2160"/>
          <w:tab w:val="left" w:pos="2880"/>
          <w:tab w:val="left" w:pos="3600"/>
          <w:tab w:val="left" w:pos="4320"/>
          <w:tab w:val="left" w:pos="5040"/>
          <w:tab w:val="left" w:pos="5760"/>
          <w:tab w:val="left" w:pos="6480"/>
          <w:tab w:val="left" w:pos="7200"/>
          <w:tab w:val="left" w:pos="7920"/>
        </w:tabs>
        <w:spacing w:beforeLines="60" w:before="144"/>
        <w:ind w:left="1440"/>
      </w:pPr>
    </w:p>
    <w:p w:rsidR="004B5B4C" w:rsidRPr="00FC5718" w:rsidRDefault="004B5B4C" w:rsidP="004B5B4C">
      <w:pPr>
        <w:tabs>
          <w:tab w:val="left" w:pos="720"/>
          <w:tab w:val="left" w:pos="2160"/>
          <w:tab w:val="left" w:pos="2880"/>
          <w:tab w:val="left" w:pos="3600"/>
          <w:tab w:val="left" w:pos="4320"/>
          <w:tab w:val="left" w:pos="5040"/>
          <w:tab w:val="left" w:pos="5760"/>
          <w:tab w:val="left" w:pos="6480"/>
          <w:tab w:val="left" w:pos="7200"/>
          <w:tab w:val="left" w:pos="7920"/>
        </w:tabs>
        <w:spacing w:beforeLines="60" w:before="144"/>
        <w:ind w:left="1440"/>
      </w:pPr>
    </w:p>
    <w:p w:rsidR="004B5B4C" w:rsidRPr="00FC5718" w:rsidRDefault="004B5B4C" w:rsidP="004B5B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b/>
        </w:rPr>
      </w:pPr>
    </w:p>
    <w:p w:rsidR="004B5B4C" w:rsidRPr="00FC5718" w:rsidRDefault="004B5B4C" w:rsidP="004B5B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b/>
        </w:rPr>
      </w:pPr>
    </w:p>
    <w:p w:rsidR="004B5B4C" w:rsidRPr="00FC5718" w:rsidRDefault="004B5B4C" w:rsidP="004B5B4C">
      <w:pPr>
        <w:jc w:val="center"/>
        <w:rPr>
          <w:rFonts w:ascii="Calibri" w:hAnsi="Calibri"/>
          <w:noProof/>
          <w:sz w:val="22"/>
          <w:szCs w:val="22"/>
        </w:rPr>
      </w:pPr>
      <w:r w:rsidRPr="00FC5718">
        <w:rPr>
          <w:rFonts w:ascii="Calibri" w:hAnsi="Calibri"/>
          <w:noProof/>
          <w:sz w:val="22"/>
          <w:szCs w:val="22"/>
        </w:rPr>
        <w:t xml:space="preserve"> </w:t>
      </w:r>
    </w:p>
    <w:p w:rsidR="00B873BE" w:rsidRPr="004B5B4C" w:rsidRDefault="00B873BE" w:rsidP="004B5B4C">
      <w:pPr>
        <w:jc w:val="left"/>
        <w:rPr>
          <w:rFonts w:ascii="Calibri" w:hAnsi="Calibri"/>
          <w:noProof/>
          <w:sz w:val="22"/>
          <w:szCs w:val="22"/>
        </w:rPr>
      </w:pPr>
    </w:p>
    <w:sectPr w:rsidR="00B873BE" w:rsidRPr="004B5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4C"/>
    <w:rsid w:val="004B5B4C"/>
    <w:rsid w:val="00B8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B4C"/>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B4C"/>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Quattlebaum, Jasmine (NCC)</dc:creator>
  <cp:lastModifiedBy>Quattlebaum, Jasmine (NCC)</cp:lastModifiedBy>
  <cp:revision>1</cp:revision>
  <dcterms:created xsi:type="dcterms:W3CDTF">2016-08-31T21:20:00Z</dcterms:created>
  <dcterms:modified xsi:type="dcterms:W3CDTF">2016-08-31T21:22:00Z</dcterms:modified>
</cp:coreProperties>
</file>